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F6" w:rsidRPr="007652F6" w:rsidRDefault="007652F6" w:rsidP="00CA185B">
      <w:pPr>
        <w:jc w:val="center"/>
        <w:rPr>
          <w:rFonts w:cstheme="minorHAnsi"/>
          <w:b/>
          <w:noProof/>
          <w:sz w:val="32"/>
          <w:szCs w:val="32"/>
        </w:rPr>
      </w:pPr>
      <w:hyperlink r:id="rId7" w:history="1">
        <w:r w:rsidRPr="007652F6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F</w:t>
        </w:r>
        <w:r w:rsidR="00CA185B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MFK</w:t>
        </w:r>
        <w:r w:rsidRPr="007652F6">
          <w:rPr>
            <w:rStyle w:val="a8"/>
            <w:rFonts w:cstheme="minorHAnsi"/>
            <w:b/>
            <w:color w:val="46463E"/>
            <w:sz w:val="32"/>
            <w:szCs w:val="32"/>
            <w:u w:val="none"/>
            <w:shd w:val="clear" w:color="auto" w:fill="FFFFFF"/>
          </w:rPr>
          <w:t>規格</w:t>
        </w:r>
      </w:hyperlink>
    </w:p>
    <w:p w:rsidR="004C2BBE" w:rsidRDefault="00CA185B" w:rsidP="007652F6">
      <w:pPr>
        <w:jc w:val="center"/>
        <w:rPr>
          <w:noProof/>
        </w:rPr>
      </w:pPr>
      <w:r>
        <w:rPr>
          <w:rStyle w:val="a8"/>
          <w:rFonts w:cstheme="minorHAnsi"/>
          <w:b/>
          <w:noProof/>
          <w:color w:val="46463E"/>
          <w:sz w:val="32"/>
          <w:szCs w:val="32"/>
          <w:u w:val="none"/>
          <w:shd w:val="clear" w:color="auto" w:fill="FFFFFF"/>
        </w:rPr>
        <w:drawing>
          <wp:inline distT="0" distB="0" distL="0" distR="0" wp14:anchorId="4FD6590B" wp14:editId="6D22E4F1">
            <wp:extent cx="2857500" cy="2009775"/>
            <wp:effectExtent l="0" t="0" r="0" b="9525"/>
            <wp:docPr id="3" name="圖片 3" descr="C:\Users\pc-02\Desktop\index-3fmf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02\Desktop\index-3fmf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52F6" w:rsidRDefault="007652F6" w:rsidP="007652F6">
      <w:pPr>
        <w:jc w:val="center"/>
        <w:rPr>
          <w:rFonts w:hint="eastAsia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"/>
        <w:gridCol w:w="373"/>
        <w:gridCol w:w="542"/>
        <w:gridCol w:w="657"/>
        <w:gridCol w:w="616"/>
        <w:gridCol w:w="641"/>
        <w:gridCol w:w="666"/>
        <w:gridCol w:w="649"/>
        <w:gridCol w:w="624"/>
        <w:gridCol w:w="666"/>
        <w:gridCol w:w="641"/>
        <w:gridCol w:w="540"/>
        <w:gridCol w:w="541"/>
        <w:gridCol w:w="640"/>
        <w:gridCol w:w="541"/>
        <w:gridCol w:w="655"/>
      </w:tblGrid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000066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 xml:space="preserve">車　</w:t>
            </w: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 xml:space="preserve"> </w:t>
            </w: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型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FK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617UFG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FK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617UFJ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FK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617UFK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FK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617UFM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657UFH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657UFL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657UFM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657UFP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65FL6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65FN6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65FP6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65FN9</w:t>
            </w:r>
          </w:p>
        </w:tc>
        <w:tc>
          <w:tcPr>
            <w:tcW w:w="0" w:type="auto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t>FM</w:t>
            </w:r>
            <w:r w:rsidRPr="00CA185B">
              <w:rPr>
                <w:rFonts w:ascii="Arial" w:eastAsia="新細明體" w:hAnsi="Arial" w:cs="Arial"/>
                <w:color w:val="FFFFFF"/>
                <w:kern w:val="0"/>
                <w:sz w:val="15"/>
                <w:szCs w:val="15"/>
              </w:rPr>
              <w:br/>
              <w:t>65FP9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尺寸</w:t>
            </w: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全長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6,625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7,735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8,175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9,155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7,535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8,705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9,405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10,320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8,705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9,975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10,320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9,975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10,320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全寬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2,170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2,460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2,480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全高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2,490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2,690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2,670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軸距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3,810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4,570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4,870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5,540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4,280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5,080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5,550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6,080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5,080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5,850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6,080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5,850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6,080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輪距</w:t>
            </w: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1,785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1,920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1,920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1,665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1,850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1,850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重量</w:t>
            </w: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空車重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3,535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3,620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3,650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3,705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4,950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5,025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5,065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5,340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5,220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5,285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5,385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5,320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5,420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總重量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 G.V.W.) (kg)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11,000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15,600</w:t>
            </w:r>
          </w:p>
        </w:tc>
        <w:tc>
          <w:tcPr>
            <w:tcW w:w="0" w:type="auto"/>
            <w:gridSpan w:val="5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17,000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連結總重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 G.C.W.) (kg)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gridSpan w:val="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26,800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27,500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引</w:t>
            </w: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 xml:space="preserve"> </w:t>
            </w: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擎</w:t>
            </w: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型式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6M60-3AT1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直列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汽缸共軌式柴油直噴引擎</w:t>
            </w:r>
          </w:p>
        </w:tc>
        <w:tc>
          <w:tcPr>
            <w:tcW w:w="0" w:type="auto"/>
            <w:gridSpan w:val="9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6M60-3AT2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直列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汽缸共軌式柴油直噴引擎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排放標準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符合環保署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'07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年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/1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起實施之第四期柴油環保法規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總排氣量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(c.c)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7,545</w:t>
            </w:r>
          </w:p>
        </w:tc>
        <w:tc>
          <w:tcPr>
            <w:tcW w:w="0" w:type="auto"/>
            <w:gridSpan w:val="9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7,545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最大馬力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(ps/rpm)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247/2600</w:t>
            </w:r>
          </w:p>
        </w:tc>
        <w:tc>
          <w:tcPr>
            <w:tcW w:w="0" w:type="auto"/>
            <w:gridSpan w:val="9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278/2600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最大扭力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(kg-m/rpm)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71/1600</w:t>
            </w:r>
          </w:p>
        </w:tc>
        <w:tc>
          <w:tcPr>
            <w:tcW w:w="0" w:type="auto"/>
            <w:gridSpan w:val="9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82/1400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渦輪增壓器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中間冷卻器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共軌式高壓燃料噴射系統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EGR(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排出廢氣再循環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PCV(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吸氣還原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觸媒轉換器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油箱容量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 L 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100L X 2</w:t>
            </w:r>
          </w:p>
        </w:tc>
        <w:tc>
          <w:tcPr>
            <w:tcW w:w="0" w:type="auto"/>
            <w:gridSpan w:val="9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200L X 1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電器</w:t>
            </w: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電瓶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12V X 2-52AH</w:t>
            </w:r>
          </w:p>
        </w:tc>
        <w:tc>
          <w:tcPr>
            <w:tcW w:w="0" w:type="auto"/>
            <w:gridSpan w:val="9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12V X 2-96AH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發電機</w:t>
            </w:r>
          </w:p>
        </w:tc>
        <w:tc>
          <w:tcPr>
            <w:tcW w:w="0" w:type="auto"/>
            <w:gridSpan w:val="1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24V-50A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傳動</w:t>
            </w: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變速箱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附動力輔助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"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前進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(6.748-4.112-2.415-1.514-1.000-0.731)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後退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(6.748)"</w:t>
            </w:r>
          </w:p>
        </w:tc>
        <w:tc>
          <w:tcPr>
            <w:tcW w:w="0" w:type="auto"/>
            <w:gridSpan w:val="7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"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前進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(6.807-4.172-2.396-1.504-1.000-0.774)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後退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(6.807)"</w:t>
            </w:r>
          </w:p>
        </w:tc>
        <w:tc>
          <w:tcPr>
            <w:tcW w:w="0" w:type="auto"/>
            <w:gridSpan w:val="2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"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前進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(12.60-8.98-6.53-4.75-3.55-2.53-1.84-1.34-1.00)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後退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檔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(13.17)"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離合器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乾單板式附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AIR BOOSTER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全浮式後軸</w:t>
            </w: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型式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D050H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D8H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D10H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齒比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4.625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6.166</w:t>
            </w:r>
          </w:p>
        </w:tc>
        <w:tc>
          <w:tcPr>
            <w:tcW w:w="0" w:type="auto"/>
            <w:gridSpan w:val="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6.166</w:t>
            </w:r>
          </w:p>
        </w:tc>
        <w:tc>
          <w:tcPr>
            <w:tcW w:w="0" w:type="auto"/>
            <w:gridSpan w:val="2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4.625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P.T.O.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●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0" w:type="auto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－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性能</w:t>
            </w: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最高速率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 km/hr)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gridSpan w:val="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119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爬坡能力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(tanθ(%) )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4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56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最小迴轉半徑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(m)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6.2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7.3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7.7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8.7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7.5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8.8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9.5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10.3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9.4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10.7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11.1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10.7</w:t>
            </w:r>
          </w:p>
        </w:tc>
        <w:tc>
          <w:tcPr>
            <w:tcW w:w="0" w:type="auto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11.1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底盤</w:t>
            </w:r>
          </w:p>
        </w:tc>
        <w:tc>
          <w:tcPr>
            <w:tcW w:w="0" w:type="auto"/>
            <w:vMerge w:val="restart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輪胎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(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輻射層輪胎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8.25R16-18PR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10.00R20-16PR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295/80 R22.5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8.25R16-18PR</w:t>
            </w:r>
          </w:p>
        </w:tc>
        <w:tc>
          <w:tcPr>
            <w:tcW w:w="0" w:type="auto"/>
            <w:gridSpan w:val="4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10.00R20-16PR</w:t>
            </w:r>
          </w:p>
        </w:tc>
        <w:tc>
          <w:tcPr>
            <w:tcW w:w="0" w:type="auto"/>
            <w:gridSpan w:val="5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295/80 R22.5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懸吊系統</w:t>
            </w: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前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葉片彈簧附油壓避震器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9B0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後</w:t>
            </w:r>
          </w:p>
        </w:tc>
        <w:tc>
          <w:tcPr>
            <w:tcW w:w="0" w:type="auto"/>
            <w:gridSpan w:val="13"/>
            <w:shd w:val="clear" w:color="auto" w:fill="AAAAAA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葉片彈簧附輔助葉片彈簧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煞車</w:t>
            </w: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主煞車型式</w:t>
            </w:r>
          </w:p>
        </w:tc>
        <w:tc>
          <w:tcPr>
            <w:tcW w:w="0" w:type="auto"/>
            <w:gridSpan w:val="1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雙迴路空氣油壓復合式煞車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輔助煞車</w:t>
            </w:r>
          </w:p>
        </w:tc>
        <w:tc>
          <w:tcPr>
            <w:tcW w:w="0" w:type="auto"/>
            <w:gridSpan w:val="1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排氣煞車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185B" w:rsidRPr="00CA185B" w:rsidRDefault="00CA185B" w:rsidP="00CA185B">
            <w:pPr>
              <w:widowControl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7BEC7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手煞車</w:t>
            </w:r>
          </w:p>
        </w:tc>
        <w:tc>
          <w:tcPr>
            <w:tcW w:w="0" w:type="auto"/>
            <w:gridSpan w:val="1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機械式制動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0033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FFFFFF"/>
                <w:kern w:val="0"/>
                <w:sz w:val="20"/>
                <w:szCs w:val="20"/>
              </w:rPr>
              <w:t>全車系主要配備仕樣</w:t>
            </w:r>
          </w:p>
        </w:tc>
        <w:tc>
          <w:tcPr>
            <w:tcW w:w="0" w:type="auto"/>
            <w:gridSpan w:val="13"/>
            <w:shd w:val="clear" w:color="auto" w:fill="CCCCCC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"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單片吸入式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CD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音響、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ECU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電子控制引擎、行車紀錄器、電動護腰器、衝擊吸收式方向盤、原廠冷暖空調系統、投射式頭燈、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CA185B">
              <w:rPr>
                <w:rFonts w:ascii="�ө���" w:eastAsia="新細明體" w:hAnsi="�ө���" w:cs="新細明體"/>
                <w:color w:val="333333"/>
                <w:kern w:val="0"/>
                <w:sz w:val="20"/>
                <w:szCs w:val="20"/>
              </w:rPr>
              <w:t>車門防撞鋼樑、大型室內螢光燈、中控鎖、電動窗、駕駛座多向可調氣墊式座椅。</w:t>
            </w:r>
          </w:p>
        </w:tc>
      </w:tr>
      <w:tr w:rsidR="00CA185B" w:rsidRPr="00CA185B" w:rsidTr="00CA185B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999999"/>
            <w:hideMark/>
          </w:tcPr>
          <w:p w:rsidR="00CA185B" w:rsidRPr="00CA185B" w:rsidRDefault="00CA185B" w:rsidP="00CA185B">
            <w:pPr>
              <w:widowControl/>
              <w:spacing w:before="100" w:beforeAutospacing="1" w:after="100" w:afterAutospacing="1" w:line="285" w:lineRule="atLeast"/>
              <w:rPr>
                <w:rFonts w:ascii="�ө���" w:eastAsia="新細明體" w:hAnsi="�ө���" w:cs="新細明體"/>
                <w:color w:val="333333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b/>
                <w:bCs/>
                <w:color w:val="333333"/>
                <w:kern w:val="0"/>
                <w:sz w:val="20"/>
                <w:szCs w:val="20"/>
              </w:rPr>
              <w:t>備註：</w:t>
            </w:r>
          </w:p>
          <w:p w:rsidR="00CA185B" w:rsidRPr="00CA185B" w:rsidRDefault="00CA185B" w:rsidP="00CA185B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本車型符合我國第四期排氣及噪音管制基準。</w:t>
            </w:r>
          </w:p>
          <w:p w:rsidR="00CA185B" w:rsidRPr="00CA185B" w:rsidRDefault="00CA185B" w:rsidP="00CA185B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表列數值為標準值，未含容許公差。</w:t>
            </w:r>
          </w:p>
          <w:p w:rsidR="00CA185B" w:rsidRPr="00CA185B" w:rsidRDefault="00CA185B" w:rsidP="00CA185B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lastRenderedPageBreak/>
              <w:t>全車系可選用</w:t>
            </w: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ALISION</w:t>
            </w: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自排變速箱。</w:t>
            </w:r>
          </w:p>
          <w:p w:rsidR="00CA185B" w:rsidRPr="00CA185B" w:rsidRDefault="00CA185B" w:rsidP="00CA185B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本型錄僅供參考，產品規格配備以實車為準。</w:t>
            </w:r>
          </w:p>
          <w:p w:rsidR="00CA185B" w:rsidRPr="00CA185B" w:rsidRDefault="00CA185B" w:rsidP="00CA185B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80" w:lineRule="atLeast"/>
              <w:rPr>
                <w:rFonts w:ascii="�ө���" w:eastAsia="新細明體" w:hAnsi="�ө���" w:cs="新細明體"/>
                <w:color w:val="46463E"/>
                <w:kern w:val="0"/>
                <w:sz w:val="18"/>
                <w:szCs w:val="18"/>
              </w:rPr>
            </w:pP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如欲瞭解詳細內容，請洽裕益汽車全省營業所。</w:t>
            </w:r>
            <w:r w:rsidRPr="00CA185B">
              <w:rPr>
                <w:rFonts w:ascii="�ө���" w:eastAsia="新細明體" w:hAnsi="�ө���" w:cs="新細明體"/>
                <w:color w:val="46463E"/>
                <w:kern w:val="0"/>
                <w:sz w:val="20"/>
                <w:szCs w:val="20"/>
              </w:rPr>
              <w:t> </w:t>
            </w:r>
          </w:p>
        </w:tc>
      </w:tr>
    </w:tbl>
    <w:p w:rsidR="00714AA3" w:rsidRPr="00CA185B" w:rsidRDefault="00714AA3"/>
    <w:sectPr w:rsidR="00714AA3" w:rsidRPr="00CA1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3A" w:rsidRDefault="001D153A" w:rsidP="00714AA3">
      <w:r>
        <w:separator/>
      </w:r>
    </w:p>
  </w:endnote>
  <w:endnote w:type="continuationSeparator" w:id="0">
    <w:p w:rsidR="001D153A" w:rsidRDefault="001D153A" w:rsidP="007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ө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3A" w:rsidRDefault="001D153A" w:rsidP="00714AA3">
      <w:r>
        <w:separator/>
      </w:r>
    </w:p>
  </w:footnote>
  <w:footnote w:type="continuationSeparator" w:id="0">
    <w:p w:rsidR="001D153A" w:rsidRDefault="001D153A" w:rsidP="0071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D34"/>
    <w:multiLevelType w:val="hybridMultilevel"/>
    <w:tmpl w:val="AAF4FD7E"/>
    <w:lvl w:ilvl="0" w:tplc="37763ABC">
      <w:numFmt w:val="bullet"/>
      <w:lvlText w:val="-"/>
      <w:lvlJc w:val="left"/>
      <w:pPr>
        <w:ind w:left="8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357A423E"/>
    <w:multiLevelType w:val="hybridMultilevel"/>
    <w:tmpl w:val="B08A381C"/>
    <w:lvl w:ilvl="0" w:tplc="5224AB7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2C3651"/>
    <w:multiLevelType w:val="multilevel"/>
    <w:tmpl w:val="FD1C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E5283"/>
    <w:multiLevelType w:val="multilevel"/>
    <w:tmpl w:val="73A0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3"/>
    <w:rsid w:val="001D153A"/>
    <w:rsid w:val="00236FD3"/>
    <w:rsid w:val="002D0863"/>
    <w:rsid w:val="00714AA3"/>
    <w:rsid w:val="007652F6"/>
    <w:rsid w:val="007D6F88"/>
    <w:rsid w:val="00A8288E"/>
    <w:rsid w:val="00BA7B54"/>
    <w:rsid w:val="00C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A4BFC-A4A3-4962-8845-6BC0527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A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AA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714AA3"/>
    <w:rPr>
      <w:b/>
      <w:bCs/>
    </w:rPr>
  </w:style>
  <w:style w:type="character" w:styleId="a8">
    <w:name w:val="Hyperlink"/>
    <w:basedOn w:val="a0"/>
    <w:uiPriority w:val="99"/>
    <w:semiHidden/>
    <w:unhideWhenUsed/>
    <w:rsid w:val="007652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52F6"/>
    <w:pPr>
      <w:ind w:leftChars="200" w:left="480"/>
    </w:pPr>
  </w:style>
  <w:style w:type="character" w:customStyle="1" w:styleId="apple-converted-space">
    <w:name w:val="apple-converted-space"/>
    <w:basedOn w:val="a0"/>
    <w:rsid w:val="00CA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syrl.com.tw/index-3f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1131</Characters>
  <Application>Microsoft Office Word</Application>
  <DocSecurity>0</DocSecurity>
  <Lines>377</Lines>
  <Paragraphs>307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新視野</dc:creator>
  <cp:keywords/>
  <dc:description/>
  <cp:lastModifiedBy>新視野</cp:lastModifiedBy>
  <cp:revision>2</cp:revision>
  <dcterms:created xsi:type="dcterms:W3CDTF">2016-01-20T02:59:00Z</dcterms:created>
  <dcterms:modified xsi:type="dcterms:W3CDTF">2016-01-20T02:59:00Z</dcterms:modified>
</cp:coreProperties>
</file>